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08" w:rsidRDefault="00073C08" w:rsidP="00073C08">
      <w:pPr>
        <w:pStyle w:val="Heading1"/>
        <w:shd w:val="clear" w:color="auto" w:fill="FFFFFF"/>
        <w:spacing w:before="0" w:line="300" w:lineRule="atLeast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M18-803 T-PLL</w:t>
      </w:r>
    </w:p>
    <w:p w:rsidR="00F262B4" w:rsidRDefault="00F262B4" w:rsidP="00F262B4">
      <w:pPr>
        <w:shd w:val="clear" w:color="auto" w:fill="FFFFFF"/>
        <w:spacing w:after="0" w:line="24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073C08" w:rsidRDefault="00073C08" w:rsidP="00073C08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Inclusion criteria</w:t>
      </w:r>
    </w:p>
    <w:p w:rsidR="00073C08" w:rsidRDefault="00073C08" w:rsidP="00073C0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2" name="Picture 12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Adequate liver, kidney and hematology function per laboratory values as described in the protocol.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1" name="Picture 11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Diagnosis of T-cell prolymphocytic leukemia (T-PLL) that requires treatment.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0" name="Picture 10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Eastern Cooperative Oncology Group (ECOG) performance status less than or equal to 2.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9" name="Picture 9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Negative for human T-cell </w:t>
      </w:r>
      <w:proofErr w:type="spellStart"/>
      <w:r>
        <w:rPr>
          <w:rFonts w:ascii="Verdana" w:hAnsi="Verdana"/>
          <w:color w:val="000000"/>
          <w:sz w:val="18"/>
          <w:szCs w:val="18"/>
        </w:rPr>
        <w:t>lymphotropic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virus, type 1.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8" name="Picture 8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Received prior </w:t>
      </w:r>
      <w:proofErr w:type="spellStart"/>
      <w:r>
        <w:rPr>
          <w:rFonts w:ascii="Verdana" w:hAnsi="Verdana"/>
          <w:color w:val="000000"/>
          <w:sz w:val="18"/>
          <w:szCs w:val="18"/>
        </w:rPr>
        <w:t>alemtuzumab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(unless unsuitable or unavailable).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7" name="Picture 7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Has no malignancies other than T-PLL that:</w:t>
      </w:r>
      <w:r>
        <w:rPr>
          <w:rFonts w:ascii="Verdana" w:hAnsi="Verdana"/>
          <w:color w:val="000000"/>
          <w:sz w:val="18"/>
          <w:szCs w:val="18"/>
        </w:rPr>
        <w:br/>
        <w:t>o Currently require systemic therapies;</w:t>
      </w:r>
      <w:r>
        <w:rPr>
          <w:rFonts w:ascii="Verdana" w:hAnsi="Verdana"/>
          <w:color w:val="000000"/>
          <w:sz w:val="18"/>
          <w:szCs w:val="18"/>
        </w:rPr>
        <w:br/>
        <w:t>o Were not previously treated with curative intention (unless the malignant disease is in a stable remission due to the discretion of the treating physician); or</w:t>
      </w:r>
      <w:r>
        <w:rPr>
          <w:rFonts w:ascii="Verdana" w:hAnsi="Verdana"/>
          <w:color w:val="000000"/>
          <w:sz w:val="18"/>
          <w:szCs w:val="18"/>
        </w:rPr>
        <w:br/>
        <w:t>o Developed signs of progression after curative treatment</w:t>
      </w:r>
    </w:p>
    <w:p w:rsidR="00073C08" w:rsidRDefault="00073C08" w:rsidP="00073C08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73C08" w:rsidRDefault="00073C08" w:rsidP="00073C08">
      <w:pPr>
        <w:pStyle w:val="Heading2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Exclusion criteria</w:t>
      </w:r>
    </w:p>
    <w:p w:rsidR="00073C08" w:rsidRDefault="00073C08" w:rsidP="00073C0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6" name="Picture 6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History of or current decompensated cirrhosis including Child-Pugh class B or C, ascites, hepatic encephalopathy, or </w:t>
      </w:r>
      <w:proofErr w:type="spellStart"/>
      <w:r>
        <w:rPr>
          <w:rFonts w:ascii="Verdana" w:hAnsi="Verdana"/>
          <w:color w:val="000000"/>
          <w:sz w:val="18"/>
          <w:szCs w:val="18"/>
        </w:rPr>
        <w:t>variceal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bleeding.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5" name="Picture 5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 xml:space="preserve"> Has human T-cell </w:t>
      </w:r>
      <w:proofErr w:type="spellStart"/>
      <w:r>
        <w:rPr>
          <w:rFonts w:ascii="Verdana" w:hAnsi="Verdana"/>
          <w:color w:val="000000"/>
          <w:sz w:val="18"/>
          <w:szCs w:val="18"/>
        </w:rPr>
        <w:t>lymphotropic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virus, type 1.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4" name="Picture 4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Prior allogeneic stem cell transplant within 6 months of study drug administration and requirement for graft versus host therapy.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3" name="Picture 3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Has an uncontrolled or active infection.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2" name="Picture 2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Previously treated with a B-cell lymphoma (BCL)-2 inhibitor.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69215" cy="69215"/>
            <wp:effectExtent l="0" t="0" r="6985" b="6985"/>
            <wp:docPr id="1" name="Picture 1" descr="http://www.hovon.nl/template/images/bg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von.nl/template/images/bg-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Received a prohibited therapy within the specified time frame as described in the protocol.</w:t>
      </w:r>
    </w:p>
    <w:p w:rsidR="003E4616" w:rsidRDefault="00073C08"/>
    <w:sectPr w:rsidR="003E46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4"/>
    <w:rsid w:val="00073C08"/>
    <w:rsid w:val="00893D34"/>
    <w:rsid w:val="00EB7893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A913C-26FF-40DD-8FBC-74E0E88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6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2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3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P.B. Cornelisse</dc:creator>
  <cp:keywords/>
  <dc:description/>
  <cp:lastModifiedBy>P.B. Cornelisse</cp:lastModifiedBy>
  <cp:revision>2</cp:revision>
  <dcterms:created xsi:type="dcterms:W3CDTF">2020-09-27T06:38:00Z</dcterms:created>
  <dcterms:modified xsi:type="dcterms:W3CDTF">2020-09-27T06:38:00Z</dcterms:modified>
</cp:coreProperties>
</file>