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B4" w:rsidRDefault="00F262B4" w:rsidP="00F262B4">
      <w:pPr>
        <w:shd w:val="clear" w:color="auto" w:fill="FFFFFF"/>
        <w:spacing w:after="0" w:line="240" w:lineRule="atLeast"/>
        <w:outlineLvl w:val="1"/>
        <w:rPr>
          <w:rFonts w:ascii="Verdana" w:eastAsia="Times New Roman" w:hAnsi="Verdana" w:cs="Times New Roman"/>
          <w:b/>
          <w:bCs/>
          <w:color w:val="000000"/>
          <w:sz w:val="18"/>
          <w:szCs w:val="18"/>
        </w:rPr>
      </w:pPr>
      <w:r>
        <w:rPr>
          <w:rFonts w:ascii="Verdana" w:hAnsi="Verdana"/>
          <w:color w:val="000000"/>
          <w:sz w:val="24"/>
          <w:szCs w:val="24"/>
        </w:rPr>
        <w:t>DCOne-002</w:t>
      </w:r>
    </w:p>
    <w:p w:rsidR="00F262B4" w:rsidRDefault="00F262B4" w:rsidP="00F262B4">
      <w:pPr>
        <w:shd w:val="clear" w:color="auto" w:fill="FFFFFF"/>
        <w:spacing w:after="0" w:line="240" w:lineRule="atLeast"/>
        <w:outlineLvl w:val="1"/>
        <w:rPr>
          <w:rFonts w:ascii="Verdana" w:eastAsia="Times New Roman" w:hAnsi="Verdana" w:cs="Times New Roman"/>
          <w:b/>
          <w:bCs/>
          <w:color w:val="000000"/>
          <w:sz w:val="18"/>
          <w:szCs w:val="18"/>
        </w:rPr>
      </w:pPr>
    </w:p>
    <w:p w:rsidR="00F262B4" w:rsidRPr="00F262B4" w:rsidRDefault="00F262B4" w:rsidP="00F262B4">
      <w:pPr>
        <w:shd w:val="clear" w:color="auto" w:fill="FFFFFF"/>
        <w:spacing w:after="0" w:line="240" w:lineRule="atLeast"/>
        <w:outlineLvl w:val="1"/>
        <w:rPr>
          <w:rFonts w:ascii="Verdana" w:eastAsia="Times New Roman" w:hAnsi="Verdana" w:cs="Times New Roman"/>
          <w:b/>
          <w:bCs/>
          <w:color w:val="000000"/>
          <w:sz w:val="18"/>
          <w:szCs w:val="18"/>
        </w:rPr>
      </w:pPr>
      <w:r w:rsidRPr="00F262B4">
        <w:rPr>
          <w:rFonts w:ascii="Verdana" w:eastAsia="Times New Roman" w:hAnsi="Verdana" w:cs="Times New Roman"/>
          <w:b/>
          <w:bCs/>
          <w:color w:val="000000"/>
          <w:sz w:val="18"/>
          <w:szCs w:val="18"/>
        </w:rPr>
        <w:t>Inclusion criteria</w:t>
      </w:r>
      <w:bookmarkStart w:id="0" w:name="_GoBack"/>
      <w:bookmarkEnd w:id="0"/>
    </w:p>
    <w:p w:rsidR="00F262B4" w:rsidRPr="00F262B4" w:rsidRDefault="00F262B4" w:rsidP="00F262B4">
      <w:pPr>
        <w:shd w:val="clear" w:color="auto" w:fill="FFFFFF"/>
        <w:spacing w:after="0" w:line="240" w:lineRule="atLeast"/>
        <w:rPr>
          <w:rFonts w:ascii="Verdana" w:eastAsia="Times New Roman" w:hAnsi="Verdana" w:cs="Times New Roman"/>
          <w:color w:val="000000"/>
          <w:sz w:val="18"/>
          <w:szCs w:val="18"/>
        </w:rPr>
      </w:pPr>
      <w:r w:rsidRPr="00F262B4">
        <w:rPr>
          <w:rFonts w:ascii="Verdana" w:eastAsia="Times New Roman" w:hAnsi="Verdana" w:cs="Times New Roman"/>
          <w:color w:val="000000"/>
          <w:sz w:val="18"/>
          <w:szCs w:val="18"/>
        </w:rPr>
        <w:t>Main Inclusion Criteria:</w:t>
      </w:r>
      <w:r w:rsidRPr="00F262B4">
        <w:rPr>
          <w:rFonts w:ascii="Verdana" w:eastAsia="Times New Roman" w:hAnsi="Verdana" w:cs="Times New Roman"/>
          <w:color w:val="000000"/>
          <w:sz w:val="18"/>
          <w:szCs w:val="18"/>
        </w:rPr>
        <w:br/>
        <w:t>1. Confirmed diagnosis of AML according to WHO2016 criteria, including cytological, molecular and cytogenetic criteria (except acute pro-</w:t>
      </w:r>
      <w:proofErr w:type="spellStart"/>
      <w:r w:rsidRPr="00F262B4">
        <w:rPr>
          <w:rFonts w:ascii="Verdana" w:eastAsia="Times New Roman" w:hAnsi="Verdana" w:cs="Times New Roman"/>
          <w:color w:val="000000"/>
          <w:sz w:val="18"/>
          <w:szCs w:val="18"/>
        </w:rPr>
        <w:t>myelocytic</w:t>
      </w:r>
      <w:proofErr w:type="spellEnd"/>
      <w:r w:rsidRPr="00F262B4">
        <w:rPr>
          <w:rFonts w:ascii="Verdana" w:eastAsia="Times New Roman" w:hAnsi="Verdana" w:cs="Times New Roman"/>
          <w:color w:val="000000"/>
          <w:sz w:val="18"/>
          <w:szCs w:val="18"/>
        </w:rPr>
        <w:t xml:space="preserve"> </w:t>
      </w:r>
      <w:proofErr w:type="spellStart"/>
      <w:r w:rsidRPr="00F262B4">
        <w:rPr>
          <w:rFonts w:ascii="Verdana" w:eastAsia="Times New Roman" w:hAnsi="Verdana" w:cs="Times New Roman"/>
          <w:color w:val="000000"/>
          <w:sz w:val="18"/>
          <w:szCs w:val="18"/>
        </w:rPr>
        <w:t>leukaemia</w:t>
      </w:r>
      <w:proofErr w:type="spellEnd"/>
      <w:r w:rsidRPr="00F262B4">
        <w:rPr>
          <w:rFonts w:ascii="Verdana" w:eastAsia="Times New Roman" w:hAnsi="Verdana" w:cs="Times New Roman"/>
          <w:color w:val="000000"/>
          <w:sz w:val="18"/>
          <w:szCs w:val="18"/>
        </w:rPr>
        <w:t>/APL).</w:t>
      </w:r>
      <w:r w:rsidRPr="00F262B4">
        <w:rPr>
          <w:rFonts w:ascii="Verdana" w:eastAsia="Times New Roman" w:hAnsi="Verdana" w:cs="Times New Roman"/>
          <w:color w:val="000000"/>
          <w:sz w:val="18"/>
          <w:szCs w:val="18"/>
        </w:rPr>
        <w:br/>
        <w:t xml:space="preserve">2. In CR1 (first complete remission) or </w:t>
      </w:r>
      <w:proofErr w:type="spellStart"/>
      <w:r w:rsidRPr="00F262B4">
        <w:rPr>
          <w:rFonts w:ascii="Verdana" w:eastAsia="Times New Roman" w:hAnsi="Verdana" w:cs="Times New Roman"/>
          <w:color w:val="000000"/>
          <w:sz w:val="18"/>
          <w:szCs w:val="18"/>
        </w:rPr>
        <w:t>CRi</w:t>
      </w:r>
      <w:proofErr w:type="spellEnd"/>
      <w:r w:rsidRPr="00F262B4">
        <w:rPr>
          <w:rFonts w:ascii="Verdana" w:eastAsia="Times New Roman" w:hAnsi="Verdana" w:cs="Times New Roman"/>
          <w:color w:val="000000"/>
          <w:sz w:val="18"/>
          <w:szCs w:val="18"/>
        </w:rPr>
        <w:t xml:space="preserve"> (incomplete blood count recovery) documented by bone marrow examination up to one month before vaccination; CR defined as less than 5% blasts in </w:t>
      </w:r>
      <w:proofErr w:type="spellStart"/>
      <w:r w:rsidRPr="00F262B4">
        <w:rPr>
          <w:rFonts w:ascii="Verdana" w:eastAsia="Times New Roman" w:hAnsi="Verdana" w:cs="Times New Roman"/>
          <w:color w:val="000000"/>
          <w:sz w:val="18"/>
          <w:szCs w:val="18"/>
        </w:rPr>
        <w:t>normo</w:t>
      </w:r>
      <w:proofErr w:type="spellEnd"/>
      <w:r w:rsidRPr="00F262B4">
        <w:rPr>
          <w:rFonts w:ascii="Verdana" w:eastAsia="Times New Roman" w:hAnsi="Verdana" w:cs="Times New Roman"/>
          <w:color w:val="000000"/>
          <w:sz w:val="18"/>
          <w:szCs w:val="18"/>
        </w:rPr>
        <w:t xml:space="preserve">-cellular bone marrow, ANC &gt;1*E9/L, platelet count &gt;100*E9/L, no evidence of </w:t>
      </w:r>
      <w:proofErr w:type="spellStart"/>
      <w:r w:rsidRPr="00F262B4">
        <w:rPr>
          <w:rFonts w:ascii="Verdana" w:eastAsia="Times New Roman" w:hAnsi="Verdana" w:cs="Times New Roman"/>
          <w:color w:val="000000"/>
          <w:sz w:val="18"/>
          <w:szCs w:val="18"/>
        </w:rPr>
        <w:t>extramedullary</w:t>
      </w:r>
      <w:proofErr w:type="spellEnd"/>
      <w:r w:rsidRPr="00F262B4">
        <w:rPr>
          <w:rFonts w:ascii="Verdana" w:eastAsia="Times New Roman" w:hAnsi="Verdana" w:cs="Times New Roman"/>
          <w:color w:val="000000"/>
          <w:sz w:val="18"/>
          <w:szCs w:val="18"/>
        </w:rPr>
        <w:t xml:space="preserve"> disease. Patients in </w:t>
      </w:r>
      <w:proofErr w:type="spellStart"/>
      <w:r w:rsidRPr="00F262B4">
        <w:rPr>
          <w:rFonts w:ascii="Verdana" w:eastAsia="Times New Roman" w:hAnsi="Verdana" w:cs="Times New Roman"/>
          <w:color w:val="000000"/>
          <w:sz w:val="18"/>
          <w:szCs w:val="18"/>
        </w:rPr>
        <w:t>CRi</w:t>
      </w:r>
      <w:proofErr w:type="spellEnd"/>
      <w:r w:rsidRPr="00F262B4">
        <w:rPr>
          <w:rFonts w:ascii="Verdana" w:eastAsia="Times New Roman" w:hAnsi="Verdana" w:cs="Times New Roman"/>
          <w:color w:val="000000"/>
          <w:sz w:val="18"/>
          <w:szCs w:val="18"/>
        </w:rPr>
        <w:t xml:space="preserve"> (patients with &lt;5% blasts but with incomplete blood count recovery) should have platelets &gt;50 E9/L.</w:t>
      </w:r>
      <w:r w:rsidRPr="00F262B4">
        <w:rPr>
          <w:rFonts w:ascii="Verdana" w:eastAsia="Times New Roman" w:hAnsi="Verdana" w:cs="Times New Roman"/>
          <w:color w:val="000000"/>
          <w:sz w:val="18"/>
          <w:szCs w:val="18"/>
        </w:rPr>
        <w:br/>
        <w:t xml:space="preserve">3. MRD as defined by </w:t>
      </w:r>
      <w:proofErr w:type="spellStart"/>
      <w:r w:rsidRPr="00F262B4">
        <w:rPr>
          <w:rFonts w:ascii="Verdana" w:eastAsia="Times New Roman" w:hAnsi="Verdana" w:cs="Times New Roman"/>
          <w:color w:val="000000"/>
          <w:sz w:val="18"/>
          <w:szCs w:val="18"/>
        </w:rPr>
        <w:t>multicolour</w:t>
      </w:r>
      <w:proofErr w:type="spellEnd"/>
      <w:r w:rsidRPr="00F262B4">
        <w:rPr>
          <w:rFonts w:ascii="Verdana" w:eastAsia="Times New Roman" w:hAnsi="Verdana" w:cs="Times New Roman"/>
          <w:color w:val="000000"/>
          <w:sz w:val="18"/>
          <w:szCs w:val="18"/>
        </w:rPr>
        <w:t xml:space="preserve"> flow cytometry (MFC) at a value of &gt; 0.1%, or detection of specific molecular abnormalities such as NPM1 mutation.</w:t>
      </w:r>
      <w:r w:rsidRPr="00F262B4">
        <w:rPr>
          <w:rFonts w:ascii="Verdana" w:eastAsia="Times New Roman" w:hAnsi="Verdana" w:cs="Times New Roman"/>
          <w:color w:val="000000"/>
          <w:sz w:val="18"/>
          <w:szCs w:val="18"/>
        </w:rPr>
        <w:br/>
        <w:t xml:space="preserve">4. Patients that are in CR1 or </w:t>
      </w:r>
      <w:proofErr w:type="spellStart"/>
      <w:r w:rsidRPr="00F262B4">
        <w:rPr>
          <w:rFonts w:ascii="Verdana" w:eastAsia="Times New Roman" w:hAnsi="Verdana" w:cs="Times New Roman"/>
          <w:color w:val="000000"/>
          <w:sz w:val="18"/>
          <w:szCs w:val="18"/>
        </w:rPr>
        <w:t>CRi</w:t>
      </w:r>
      <w:proofErr w:type="spellEnd"/>
      <w:r w:rsidRPr="00F262B4">
        <w:rPr>
          <w:rFonts w:ascii="Verdana" w:eastAsia="Times New Roman" w:hAnsi="Verdana" w:cs="Times New Roman"/>
          <w:color w:val="000000"/>
          <w:sz w:val="18"/>
          <w:szCs w:val="18"/>
        </w:rPr>
        <w:t>. Patients not having undergone consolidation therapy must have been in CR1 for at least 1 month prior to enrolment.</w:t>
      </w:r>
      <w:r w:rsidRPr="00F262B4">
        <w:rPr>
          <w:rFonts w:ascii="Verdana" w:eastAsia="Times New Roman" w:hAnsi="Verdana" w:cs="Times New Roman"/>
          <w:color w:val="000000"/>
          <w:sz w:val="18"/>
          <w:szCs w:val="18"/>
        </w:rPr>
        <w:br/>
        <w:t>5. Expected and willing to undergo all study procedures, including outpatient evaluations for clinical and immunological monitoring.</w:t>
      </w:r>
      <w:r w:rsidRPr="00F262B4">
        <w:rPr>
          <w:rFonts w:ascii="Verdana" w:eastAsia="Times New Roman" w:hAnsi="Verdana" w:cs="Times New Roman"/>
          <w:color w:val="000000"/>
          <w:sz w:val="18"/>
          <w:szCs w:val="18"/>
        </w:rPr>
        <w:br/>
        <w:t>6. Male or female of ≥ 18 years of age.</w:t>
      </w:r>
      <w:r w:rsidRPr="00F262B4">
        <w:rPr>
          <w:rFonts w:ascii="Verdana" w:eastAsia="Times New Roman" w:hAnsi="Verdana" w:cs="Times New Roman"/>
          <w:color w:val="000000"/>
          <w:sz w:val="18"/>
          <w:szCs w:val="18"/>
        </w:rPr>
        <w:br/>
        <w:t>7. Women of childbearing potential must be using anti-conceptive therapy or use two (2) barrier contraceptive methods (one by each partner and at least one of the barrier methods must include spermicide (unless spermicide is not approved in the country or region). See section 12.8 for birth control methods deemed acceptable for this study.</w:t>
      </w:r>
      <w:r w:rsidRPr="00F262B4">
        <w:rPr>
          <w:rFonts w:ascii="Verdana" w:eastAsia="Times New Roman" w:hAnsi="Verdana" w:cs="Times New Roman"/>
          <w:color w:val="000000"/>
          <w:sz w:val="18"/>
          <w:szCs w:val="18"/>
        </w:rPr>
        <w:br/>
        <w:t>8. ECOG (WHO) performance status 0-2.</w:t>
      </w:r>
      <w:r w:rsidRPr="00F262B4">
        <w:rPr>
          <w:rFonts w:ascii="Verdana" w:eastAsia="Times New Roman" w:hAnsi="Verdana" w:cs="Times New Roman"/>
          <w:color w:val="000000"/>
          <w:sz w:val="18"/>
          <w:szCs w:val="18"/>
        </w:rPr>
        <w:br/>
        <w:t>9. Willing and able to provide written informed consent for participation in the study</w:t>
      </w:r>
    </w:p>
    <w:p w:rsidR="00F262B4" w:rsidRPr="00F262B4" w:rsidRDefault="00F262B4" w:rsidP="00F262B4">
      <w:pPr>
        <w:spacing w:after="0" w:line="240" w:lineRule="auto"/>
        <w:rPr>
          <w:rFonts w:ascii="Times New Roman" w:eastAsia="Times New Roman" w:hAnsi="Times New Roman" w:cs="Times New Roman"/>
          <w:sz w:val="24"/>
          <w:szCs w:val="24"/>
        </w:rPr>
      </w:pPr>
      <w:r w:rsidRPr="00F262B4">
        <w:rPr>
          <w:rFonts w:ascii="Verdana" w:eastAsia="Times New Roman" w:hAnsi="Verdana" w:cs="Times New Roman"/>
          <w:color w:val="000000"/>
          <w:sz w:val="18"/>
          <w:szCs w:val="18"/>
        </w:rPr>
        <w:br/>
      </w:r>
    </w:p>
    <w:p w:rsidR="00F262B4" w:rsidRPr="00F262B4" w:rsidRDefault="00F262B4" w:rsidP="00F262B4">
      <w:pPr>
        <w:shd w:val="clear" w:color="auto" w:fill="FFFFFF"/>
        <w:spacing w:after="0" w:line="240" w:lineRule="atLeast"/>
        <w:outlineLvl w:val="1"/>
        <w:rPr>
          <w:rFonts w:ascii="Verdana" w:eastAsia="Times New Roman" w:hAnsi="Verdana" w:cs="Times New Roman"/>
          <w:b/>
          <w:bCs/>
          <w:color w:val="000000"/>
          <w:sz w:val="18"/>
          <w:szCs w:val="18"/>
        </w:rPr>
      </w:pPr>
      <w:r w:rsidRPr="00F262B4">
        <w:rPr>
          <w:rFonts w:ascii="Verdana" w:eastAsia="Times New Roman" w:hAnsi="Verdana" w:cs="Times New Roman"/>
          <w:b/>
          <w:bCs/>
          <w:color w:val="000000"/>
          <w:sz w:val="18"/>
          <w:szCs w:val="18"/>
        </w:rPr>
        <w:t>Exclusion criteria</w:t>
      </w:r>
    </w:p>
    <w:p w:rsidR="00F262B4" w:rsidRPr="00F262B4" w:rsidRDefault="00F262B4" w:rsidP="00F262B4">
      <w:pPr>
        <w:shd w:val="clear" w:color="auto" w:fill="FFFFFF"/>
        <w:spacing w:after="0" w:line="240" w:lineRule="atLeast"/>
        <w:rPr>
          <w:rFonts w:ascii="Verdana" w:eastAsia="Times New Roman" w:hAnsi="Verdana" w:cs="Times New Roman"/>
          <w:color w:val="000000"/>
          <w:sz w:val="18"/>
          <w:szCs w:val="18"/>
        </w:rPr>
      </w:pPr>
      <w:r w:rsidRPr="00F262B4">
        <w:rPr>
          <w:rFonts w:ascii="Verdana" w:eastAsia="Times New Roman" w:hAnsi="Verdana" w:cs="Times New Roman"/>
          <w:color w:val="000000"/>
          <w:sz w:val="18"/>
          <w:szCs w:val="18"/>
        </w:rPr>
        <w:t>Main Exclusion Criteria:</w:t>
      </w:r>
      <w:r w:rsidRPr="00F262B4">
        <w:rPr>
          <w:rFonts w:ascii="Verdana" w:eastAsia="Times New Roman" w:hAnsi="Verdana" w:cs="Times New Roman"/>
          <w:color w:val="000000"/>
          <w:sz w:val="18"/>
          <w:szCs w:val="18"/>
        </w:rPr>
        <w:br/>
        <w:t xml:space="preserve">1. Acute </w:t>
      </w:r>
      <w:proofErr w:type="spellStart"/>
      <w:r w:rsidRPr="00F262B4">
        <w:rPr>
          <w:rFonts w:ascii="Verdana" w:eastAsia="Times New Roman" w:hAnsi="Verdana" w:cs="Times New Roman"/>
          <w:color w:val="000000"/>
          <w:sz w:val="18"/>
          <w:szCs w:val="18"/>
        </w:rPr>
        <w:t>Promyelocytic</w:t>
      </w:r>
      <w:proofErr w:type="spellEnd"/>
      <w:r w:rsidRPr="00F262B4">
        <w:rPr>
          <w:rFonts w:ascii="Verdana" w:eastAsia="Times New Roman" w:hAnsi="Verdana" w:cs="Times New Roman"/>
          <w:color w:val="000000"/>
          <w:sz w:val="18"/>
          <w:szCs w:val="18"/>
        </w:rPr>
        <w:t xml:space="preserve"> (APL; M3) type of AML.</w:t>
      </w:r>
      <w:r w:rsidRPr="00F262B4">
        <w:rPr>
          <w:rFonts w:ascii="Verdana" w:eastAsia="Times New Roman" w:hAnsi="Verdana" w:cs="Times New Roman"/>
          <w:color w:val="000000"/>
          <w:sz w:val="18"/>
          <w:szCs w:val="18"/>
        </w:rPr>
        <w:br/>
        <w:t>2. Patients who have undergone or are scheduled for allogeneic stem cell transplantation.</w:t>
      </w:r>
      <w:r w:rsidRPr="00F262B4">
        <w:rPr>
          <w:rFonts w:ascii="Verdana" w:eastAsia="Times New Roman" w:hAnsi="Verdana" w:cs="Times New Roman"/>
          <w:color w:val="000000"/>
          <w:sz w:val="18"/>
          <w:szCs w:val="18"/>
        </w:rPr>
        <w:br/>
        <w:t>3. History of previous allogeneic bone marrow or solid organ transplantation.</w:t>
      </w:r>
      <w:r w:rsidRPr="00F262B4">
        <w:rPr>
          <w:rFonts w:ascii="Verdana" w:eastAsia="Times New Roman" w:hAnsi="Verdana" w:cs="Times New Roman"/>
          <w:color w:val="000000"/>
          <w:sz w:val="18"/>
          <w:szCs w:val="18"/>
        </w:rPr>
        <w:br/>
        <w:t>4. Uncontrolled or serious infections</w:t>
      </w:r>
      <w:r w:rsidRPr="00F262B4">
        <w:rPr>
          <w:rFonts w:ascii="Verdana" w:eastAsia="Times New Roman" w:hAnsi="Verdana" w:cs="Times New Roman"/>
          <w:color w:val="000000"/>
          <w:sz w:val="18"/>
          <w:szCs w:val="18"/>
        </w:rPr>
        <w:br/>
        <w:t>5. Ongoing immunosuppressive therapy, other than short use of low dose steroids, i.e. equivalent to an average dose of ≤10mg of prednisone/day.</w:t>
      </w:r>
      <w:r w:rsidRPr="00F262B4">
        <w:rPr>
          <w:rFonts w:ascii="Verdana" w:eastAsia="Times New Roman" w:hAnsi="Verdana" w:cs="Times New Roman"/>
          <w:color w:val="000000"/>
          <w:sz w:val="18"/>
          <w:szCs w:val="18"/>
        </w:rPr>
        <w:br/>
        <w:t>6. Chemotherapy and antineoplastic hormonal therapy within 28 days prior to the screening visits.</w:t>
      </w:r>
      <w:r w:rsidRPr="00F262B4">
        <w:rPr>
          <w:rFonts w:ascii="Verdana" w:eastAsia="Times New Roman" w:hAnsi="Verdana" w:cs="Times New Roman"/>
          <w:color w:val="000000"/>
          <w:sz w:val="18"/>
          <w:szCs w:val="18"/>
        </w:rPr>
        <w:br/>
        <w:t>7. Active autoimmune disease.</w:t>
      </w:r>
      <w:r w:rsidRPr="00F262B4">
        <w:rPr>
          <w:rFonts w:ascii="Verdana" w:eastAsia="Times New Roman" w:hAnsi="Verdana" w:cs="Times New Roman"/>
          <w:color w:val="000000"/>
          <w:sz w:val="18"/>
          <w:szCs w:val="18"/>
        </w:rPr>
        <w:br/>
        <w:t>8. Inadequate liver function (AST and ALT &gt; 3 x ULN, serum bilirubin &gt;3 x ULN).</w:t>
      </w:r>
      <w:r w:rsidRPr="00F262B4">
        <w:rPr>
          <w:rFonts w:ascii="Verdana" w:eastAsia="Times New Roman" w:hAnsi="Verdana" w:cs="Times New Roman"/>
          <w:color w:val="000000"/>
          <w:sz w:val="18"/>
          <w:szCs w:val="18"/>
        </w:rPr>
        <w:br/>
        <w:t>9. Other active Malignancies within the last 5 years, except for adequately treated carcinoma in situ of the cervix or squamous carcinoma of the skin or adequately controlled limited basal cell skin cancer.</w:t>
      </w:r>
      <w:r w:rsidRPr="00F262B4">
        <w:rPr>
          <w:rFonts w:ascii="Verdana" w:eastAsia="Times New Roman" w:hAnsi="Verdana" w:cs="Times New Roman"/>
          <w:color w:val="000000"/>
          <w:sz w:val="18"/>
          <w:szCs w:val="18"/>
        </w:rPr>
        <w:br/>
        <w:t>10. Pregnant or lactating females.</w:t>
      </w:r>
      <w:r w:rsidRPr="00F262B4">
        <w:rPr>
          <w:rFonts w:ascii="Verdana" w:eastAsia="Times New Roman" w:hAnsi="Verdana" w:cs="Times New Roman"/>
          <w:color w:val="000000"/>
          <w:sz w:val="18"/>
          <w:szCs w:val="18"/>
        </w:rPr>
        <w:br/>
        <w:t>11. Major surgical procedure (including open biopsy) within 28 days prior to the first study treatment, or anticipation of the need for major surgery during the course of the study treatment.</w:t>
      </w:r>
      <w:r w:rsidRPr="00F262B4">
        <w:rPr>
          <w:rFonts w:ascii="Verdana" w:eastAsia="Times New Roman" w:hAnsi="Verdana" w:cs="Times New Roman"/>
          <w:color w:val="000000"/>
          <w:sz w:val="18"/>
          <w:szCs w:val="18"/>
        </w:rPr>
        <w:br/>
        <w:t>12. Uncontrolled hypertension (systolic &gt; 150 mm Hg and/or diastolic &gt; 100 mm Hg) or clinically significant (i.e. active) cardiovascular disease.</w:t>
      </w:r>
      <w:r w:rsidRPr="00F262B4">
        <w:rPr>
          <w:rFonts w:ascii="Verdana" w:eastAsia="Times New Roman" w:hAnsi="Verdana" w:cs="Times New Roman"/>
          <w:color w:val="000000"/>
          <w:sz w:val="18"/>
          <w:szCs w:val="18"/>
        </w:rPr>
        <w:br/>
        <w:t>13. Evidence of any other medical conditions (such as psychiatric illness, physical examination or laboratory findings) that may interfere with the planned treatment, affect patient compliance or place the patient at high risk from treatment-related complications.</w:t>
      </w:r>
      <w:r w:rsidRPr="00F262B4">
        <w:rPr>
          <w:rFonts w:ascii="Verdana" w:eastAsia="Times New Roman" w:hAnsi="Verdana" w:cs="Times New Roman"/>
          <w:color w:val="000000"/>
          <w:sz w:val="18"/>
          <w:szCs w:val="18"/>
        </w:rPr>
        <w:br/>
        <w:t>14. Known HIV, Hepatitis B and/or Hepatitis C infections.</w:t>
      </w:r>
      <w:r w:rsidRPr="00F262B4">
        <w:rPr>
          <w:rFonts w:ascii="Verdana" w:eastAsia="Times New Roman" w:hAnsi="Verdana" w:cs="Times New Roman"/>
          <w:color w:val="000000"/>
          <w:sz w:val="18"/>
          <w:szCs w:val="18"/>
        </w:rPr>
        <w:br/>
        <w:t>15. History of hypersensitivity to the investigational medicinal product or to any excipient present in the pharmaceutical form of the investigational medicinal product.</w:t>
      </w:r>
    </w:p>
    <w:p w:rsidR="003E4616" w:rsidRDefault="00F262B4"/>
    <w:sectPr w:rsidR="003E4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4"/>
    <w:rsid w:val="00893D34"/>
    <w:rsid w:val="00EB7893"/>
    <w:rsid w:val="00F2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4E03"/>
  <w15:chartTrackingRefBased/>
  <w15:docId w15:val="{6EDA913C-26FF-40DD-8FBC-74E0E885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6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2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6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 Cornelisse</dc:creator>
  <cp:keywords/>
  <dc:description/>
  <cp:lastModifiedBy>P.B. Cornelisse</cp:lastModifiedBy>
  <cp:revision>1</cp:revision>
  <dcterms:created xsi:type="dcterms:W3CDTF">2020-09-25T12:25:00Z</dcterms:created>
  <dcterms:modified xsi:type="dcterms:W3CDTF">2020-09-25T12:26:00Z</dcterms:modified>
</cp:coreProperties>
</file>